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52AE" w14:textId="77777777" w:rsidR="00FD7F78" w:rsidRPr="00FD7F78" w:rsidRDefault="00FD7F78" w:rsidP="00FD7F78">
      <w:pPr>
        <w:rPr>
          <w:rFonts w:ascii="Arial" w:hAnsi="Arial" w:cs="Arial"/>
          <w:b/>
          <w:sz w:val="24"/>
          <w:szCs w:val="24"/>
          <w:u w:val="single"/>
        </w:rPr>
      </w:pPr>
      <w:r w:rsidRPr="00FD7F78">
        <w:rPr>
          <w:rFonts w:ascii="Arial" w:hAnsi="Arial" w:cs="Arial"/>
          <w:b/>
          <w:sz w:val="24"/>
          <w:szCs w:val="24"/>
          <w:u w:val="single"/>
        </w:rPr>
        <w:t>AMAZING YOUTH SPIRIT CHAMPIONED AT SEVENTH TENDRING YOUTH AWARDS</w:t>
      </w:r>
    </w:p>
    <w:p w14:paraId="4E238F5B" w14:textId="56CF3B76" w:rsidR="00FD7F78" w:rsidRPr="00FD7F78" w:rsidRDefault="00FD7F78" w:rsidP="00FD7F78">
      <w:pPr>
        <w:rPr>
          <w:rFonts w:ascii="Arial" w:hAnsi="Arial" w:cs="Arial"/>
          <w:sz w:val="24"/>
        </w:rPr>
      </w:pPr>
      <w:r w:rsidRPr="00FD7F78">
        <w:rPr>
          <w:rFonts w:ascii="Arial" w:hAnsi="Arial" w:cs="Arial"/>
          <w:sz w:val="24"/>
        </w:rPr>
        <w:t>FANTASTIC young people and their successes in personal and community life were revealed at</w:t>
      </w:r>
      <w:r w:rsidRPr="00FD7F78">
        <w:rPr>
          <w:rFonts w:ascii="Arial" w:hAnsi="Arial" w:cs="Arial"/>
          <w:sz w:val="24"/>
        </w:rPr>
        <w:t xml:space="preserve"> the </w:t>
      </w:r>
      <w:r w:rsidRPr="00FD7F78">
        <w:rPr>
          <w:rFonts w:ascii="Arial" w:hAnsi="Arial" w:cs="Arial"/>
          <w:sz w:val="24"/>
        </w:rPr>
        <w:t>presentation evening held at Clacton’s Princes Theatre on 3</w:t>
      </w:r>
      <w:r w:rsidRPr="00FD7F78">
        <w:rPr>
          <w:rFonts w:ascii="Arial" w:hAnsi="Arial" w:cs="Arial"/>
          <w:sz w:val="24"/>
          <w:vertAlign w:val="superscript"/>
        </w:rPr>
        <w:t>rd</w:t>
      </w:r>
      <w:r w:rsidRPr="00FD7F78">
        <w:rPr>
          <w:rFonts w:ascii="Arial" w:hAnsi="Arial" w:cs="Arial"/>
          <w:sz w:val="24"/>
        </w:rPr>
        <w:t xml:space="preserve"> </w:t>
      </w:r>
      <w:r w:rsidRPr="00FD7F78">
        <w:rPr>
          <w:rFonts w:ascii="Arial" w:hAnsi="Arial" w:cs="Arial"/>
          <w:sz w:val="24"/>
        </w:rPr>
        <w:t>October, with the judges praising all of those nominated.</w:t>
      </w:r>
    </w:p>
    <w:p w14:paraId="453F827B" w14:textId="62BF387E" w:rsidR="00FD7F78" w:rsidRPr="00FD7F78" w:rsidRDefault="00FD7F78" w:rsidP="00FD7F78">
      <w:pPr>
        <w:rPr>
          <w:rFonts w:ascii="Arial" w:hAnsi="Arial" w:cs="Arial"/>
          <w:sz w:val="24"/>
        </w:rPr>
      </w:pPr>
      <w:r w:rsidRPr="00FD7F78">
        <w:rPr>
          <w:rFonts w:ascii="Arial" w:hAnsi="Arial" w:cs="Arial"/>
          <w:sz w:val="24"/>
        </w:rPr>
        <w:t xml:space="preserve">Celebrating their seventh year, the awards commemorate achievements by young people across a range of categories – along with a category </w:t>
      </w:r>
      <w:r w:rsidRPr="00FD7F78">
        <w:rPr>
          <w:rFonts w:ascii="Arial" w:hAnsi="Arial" w:cs="Arial"/>
          <w:sz w:val="24"/>
        </w:rPr>
        <w:t xml:space="preserve">now </w:t>
      </w:r>
      <w:r w:rsidRPr="00FD7F78">
        <w:rPr>
          <w:rFonts w:ascii="Arial" w:hAnsi="Arial" w:cs="Arial"/>
          <w:sz w:val="24"/>
        </w:rPr>
        <w:t>for adults who support young people in Tendring.</w:t>
      </w:r>
    </w:p>
    <w:p w14:paraId="307D7C28" w14:textId="4200D889" w:rsidR="00FD7F78" w:rsidRPr="00FD7F78" w:rsidRDefault="00FD7F78" w:rsidP="00FD7F78">
      <w:pPr>
        <w:rPr>
          <w:rFonts w:ascii="Arial" w:hAnsi="Arial" w:cs="Arial"/>
          <w:sz w:val="24"/>
        </w:rPr>
      </w:pPr>
      <w:r w:rsidRPr="00FD7F78">
        <w:rPr>
          <w:rFonts w:ascii="Arial" w:hAnsi="Arial" w:cs="Arial"/>
          <w:sz w:val="24"/>
        </w:rPr>
        <w:t xml:space="preserve">Harwich Haven Authority is the headline sponsor this year which </w:t>
      </w:r>
      <w:r w:rsidRPr="00FD7F78">
        <w:rPr>
          <w:rFonts w:ascii="Arial" w:hAnsi="Arial" w:cs="Arial"/>
          <w:sz w:val="24"/>
        </w:rPr>
        <w:t>is</w:t>
      </w:r>
      <w:r w:rsidRPr="00FD7F78">
        <w:rPr>
          <w:rFonts w:ascii="Arial" w:hAnsi="Arial" w:cs="Arial"/>
          <w:sz w:val="24"/>
        </w:rPr>
        <w:t xml:space="preserve"> supported by Tendring District Council and Essex County Council. Other sponsors are Actual Radio, the Princes Theatre, Halterman Carless and Nova Training, along with </w:t>
      </w:r>
      <w:r w:rsidRPr="00FD7F78">
        <w:rPr>
          <w:rFonts w:ascii="Arial" w:hAnsi="Arial" w:cs="Arial"/>
          <w:sz w:val="24"/>
        </w:rPr>
        <w:t xml:space="preserve">the </w:t>
      </w:r>
      <w:r w:rsidRPr="00FD7F78">
        <w:rPr>
          <w:rFonts w:ascii="Arial" w:hAnsi="Arial" w:cs="Arial"/>
          <w:sz w:val="24"/>
        </w:rPr>
        <w:t>new sponsors Aquinas Provisions Ltd who introduced a new school Attendance Award category for 2023.</w:t>
      </w:r>
    </w:p>
    <w:p w14:paraId="62C1CB39" w14:textId="6FE00674" w:rsidR="00FD7F78" w:rsidRDefault="00FD7F78" w:rsidP="00FD7F78">
      <w:pPr>
        <w:rPr>
          <w:rFonts w:ascii="Arial" w:hAnsi="Arial" w:cs="Arial"/>
          <w:sz w:val="24"/>
          <w:szCs w:val="24"/>
        </w:rPr>
      </w:pPr>
      <w:r w:rsidRPr="00FD7F78">
        <w:rPr>
          <w:rFonts w:ascii="Arial" w:hAnsi="Arial" w:cs="Arial"/>
          <w:sz w:val="24"/>
        </w:rPr>
        <w:t>To keep up-to-date with the Tendring Youth Awards, or for organisations interest</w:t>
      </w:r>
      <w:r>
        <w:rPr>
          <w:rFonts w:ascii="Arial" w:hAnsi="Arial" w:cs="Arial"/>
          <w:sz w:val="24"/>
        </w:rPr>
        <w:t>ed</w:t>
      </w:r>
      <w:r w:rsidRPr="00FD7F78">
        <w:rPr>
          <w:rFonts w:ascii="Arial" w:hAnsi="Arial" w:cs="Arial"/>
          <w:sz w:val="24"/>
        </w:rPr>
        <w:t xml:space="preserve"> in being a sponsor, visit </w:t>
      </w:r>
      <w:hyperlink r:id="rId8" w:history="1">
        <w:r w:rsidRPr="00FD7F78">
          <w:rPr>
            <w:rStyle w:val="Hyperlink"/>
            <w:rFonts w:ascii="Arial" w:hAnsi="Arial" w:cs="Arial"/>
            <w:sz w:val="24"/>
          </w:rPr>
          <w:t>https://www.tendringdc.gov.uk/community/young-people/tendring-youth-awards</w:t>
        </w:r>
      </w:hyperlink>
      <w:r w:rsidRPr="00FD7F78">
        <w:rPr>
          <w:rFonts w:ascii="Arial" w:hAnsi="Arial" w:cs="Arial"/>
          <w:sz w:val="24"/>
        </w:rPr>
        <w:t xml:space="preserve"> or go to the to the awards’ Facebook and Instagram pages</w:t>
      </w:r>
      <w:r w:rsidRPr="00FD7F78">
        <w:rPr>
          <w:rFonts w:ascii="Arial" w:hAnsi="Arial" w:cs="Arial"/>
          <w:sz w:val="24"/>
          <w:szCs w:val="24"/>
        </w:rPr>
        <w:t>.</w:t>
      </w:r>
    </w:p>
    <w:p w14:paraId="1922B841" w14:textId="77777777" w:rsidR="00FD7F78" w:rsidRPr="00FD7F78" w:rsidRDefault="00FD7F78" w:rsidP="00FD7F78">
      <w:pPr>
        <w:rPr>
          <w:rFonts w:ascii="Arial" w:hAnsi="Arial" w:cs="Arial"/>
          <w:sz w:val="24"/>
          <w:szCs w:val="24"/>
        </w:rPr>
      </w:pPr>
    </w:p>
    <w:p w14:paraId="5C42B3C1" w14:textId="3FC77AE0" w:rsidR="00FD7F78" w:rsidRDefault="00FD7F78" w:rsidP="00FD7F7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WORK BEGINS ON TEMPORARY ACCOMMODATION FACILITY</w:t>
      </w:r>
    </w:p>
    <w:p w14:paraId="05F6DA71" w14:textId="77777777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Contractors have begun work to revamp a former sheltered housing block.</w:t>
      </w:r>
    </w:p>
    <w:p w14:paraId="6A26E708" w14:textId="17F4C118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Spendells House, in Walton-on-the-Naze, is being converted by Tendring District Council (TDC) into temporary accommodation to house people and families who find themselves homeless.</w:t>
      </w:r>
    </w:p>
    <w:p w14:paraId="717A10C5" w14:textId="2170160D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Contractors Arc Group London Ltd has taken possession of the site in Naze Park Road and started the works, which are </w:t>
      </w:r>
      <w:r>
        <w:rPr>
          <w:rFonts w:ascii="Arial" w:hAnsi="Arial"/>
          <w:sz w:val="24"/>
        </w:rPr>
        <w:t>expect</w:t>
      </w:r>
      <w:r>
        <w:rPr>
          <w:rFonts w:ascii="Arial" w:hAnsi="Arial"/>
          <w:sz w:val="24"/>
        </w:rPr>
        <w:t>ed to be completed in Spring 2024.</w:t>
      </w:r>
    </w:p>
    <w:p w14:paraId="72E240DC" w14:textId="22110156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existing two-storey accommodation will be renovated and additional facilities added, </w:t>
      </w:r>
      <w:r>
        <w:rPr>
          <w:rFonts w:ascii="Arial" w:hAnsi="Arial"/>
          <w:sz w:val="24"/>
        </w:rPr>
        <w:t xml:space="preserve">to provide </w:t>
      </w:r>
      <w:r>
        <w:rPr>
          <w:rFonts w:ascii="Arial" w:hAnsi="Arial"/>
          <w:sz w:val="24"/>
        </w:rPr>
        <w:t xml:space="preserve">32 flats, including one which </w:t>
      </w:r>
      <w:r>
        <w:rPr>
          <w:rFonts w:ascii="Arial" w:hAnsi="Arial"/>
          <w:sz w:val="24"/>
        </w:rPr>
        <w:t xml:space="preserve">will be </w:t>
      </w:r>
      <w:r>
        <w:rPr>
          <w:rFonts w:ascii="Arial" w:hAnsi="Arial"/>
          <w:sz w:val="24"/>
        </w:rPr>
        <w:t>wheelchair accessible – while there will be flexibility to connect some flats to accommodate larger families.</w:t>
      </w:r>
    </w:p>
    <w:p w14:paraId="6CDF3C51" w14:textId="3AC692A9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Laundry and bathroom facilities will be added,</w:t>
      </w:r>
      <w:r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the adjoining bungalow on the site will be converted to provide office space for TDC staff and partner agencies supporting the families </w:t>
      </w:r>
      <w:r>
        <w:rPr>
          <w:rFonts w:ascii="Arial" w:hAnsi="Arial"/>
          <w:sz w:val="24"/>
        </w:rPr>
        <w:t xml:space="preserve">in the </w:t>
      </w:r>
      <w:r>
        <w:rPr>
          <w:rFonts w:ascii="Arial" w:hAnsi="Arial"/>
          <w:sz w:val="24"/>
        </w:rPr>
        <w:t>tempor</w:t>
      </w:r>
      <w:r>
        <w:rPr>
          <w:rFonts w:ascii="Arial" w:hAnsi="Arial"/>
          <w:sz w:val="24"/>
        </w:rPr>
        <w:t>ar</w:t>
      </w:r>
      <w:r>
        <w:rPr>
          <w:rFonts w:ascii="Arial" w:hAnsi="Arial"/>
          <w:sz w:val="24"/>
        </w:rPr>
        <w:t>y hous</w:t>
      </w:r>
      <w:r>
        <w:rPr>
          <w:rFonts w:ascii="Arial" w:hAnsi="Arial"/>
          <w:sz w:val="24"/>
        </w:rPr>
        <w:t>ing.</w:t>
      </w:r>
    </w:p>
    <w:p w14:paraId="4B19EE21" w14:textId="7E820FE9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Two members of staff will be on site during office hours, with other provision outside those </w:t>
      </w:r>
      <w:r>
        <w:rPr>
          <w:rFonts w:ascii="Arial" w:hAnsi="Arial"/>
          <w:sz w:val="24"/>
        </w:rPr>
        <w:t>hours</w:t>
      </w:r>
      <w:r>
        <w:rPr>
          <w:rFonts w:ascii="Arial" w:hAnsi="Arial"/>
          <w:sz w:val="24"/>
        </w:rPr>
        <w:t>, to manage the building and support households.</w:t>
      </w:r>
    </w:p>
    <w:p w14:paraId="690A6197" w14:textId="78DCEE5F" w:rsidR="003C1DCC" w:rsidRDefault="00662135" w:rsidP="00FD7F78">
      <w:pPr>
        <w:rPr>
          <w:rFonts w:ascii="Arial" w:hAnsi="Arial" w:cs="Arial"/>
          <w:lang w:eastAsia="en-GB"/>
        </w:rPr>
      </w:pPr>
      <w:r w:rsidRPr="00A30B66">
        <w:rPr>
          <w:rFonts w:ascii="Arial" w:hAnsi="Arial" w:cs="Arial"/>
          <w:lang w:eastAsia="en-GB"/>
        </w:rPr>
        <w:tab/>
      </w:r>
      <w:r w:rsidRPr="00A30B66">
        <w:rPr>
          <w:rFonts w:ascii="Arial" w:hAnsi="Arial" w:cs="Arial"/>
          <w:lang w:eastAsia="en-GB"/>
        </w:rPr>
        <w:tab/>
      </w:r>
      <w:r w:rsidRPr="00A30B66">
        <w:rPr>
          <w:rFonts w:ascii="Arial" w:hAnsi="Arial" w:cs="Arial"/>
          <w:lang w:eastAsia="en-GB"/>
        </w:rPr>
        <w:tab/>
      </w:r>
    </w:p>
    <w:p w14:paraId="5A4E1132" w14:textId="77777777" w:rsidR="00FD7F78" w:rsidRDefault="00FD7F78" w:rsidP="00FD7F78">
      <w:pPr>
        <w:rPr>
          <w:rFonts w:ascii="Arial" w:hAnsi="Arial" w:cs="Arial"/>
          <w:lang w:eastAsia="en-GB"/>
        </w:rPr>
      </w:pPr>
    </w:p>
    <w:p w14:paraId="2E5DC6AE" w14:textId="77777777" w:rsidR="00FD7F78" w:rsidRDefault="00FD7F78" w:rsidP="00FD7F7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UPDATED EMPLOYMENT POLICIES SUPPORT SPECIAL CONSTABLES AT COUNCIL</w:t>
      </w:r>
    </w:p>
    <w:p w14:paraId="5E9BD8CD" w14:textId="77777777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staff are being supported to volunteer with Essex Police as part of a new partnership.</w:t>
      </w:r>
    </w:p>
    <w:p w14:paraId="1BD91747" w14:textId="77777777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Tendring District Council (TDC) is working with the force to support those who volunteer as Special Constables through the national Employer Supported Policing scheme.</w:t>
      </w:r>
    </w:p>
    <w:p w14:paraId="725EBA5C" w14:textId="77777777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Special Constables </w:t>
      </w:r>
      <w:r w:rsidRPr="002D7CF6">
        <w:rPr>
          <w:rFonts w:ascii="Arial" w:hAnsi="Arial"/>
          <w:sz w:val="24"/>
        </w:rPr>
        <w:t>are volunteers who want to give something back to their local communities, making them safer places to live and work.</w:t>
      </w:r>
      <w:r>
        <w:rPr>
          <w:rFonts w:ascii="Arial" w:hAnsi="Arial"/>
          <w:sz w:val="24"/>
        </w:rPr>
        <w:t xml:space="preserve"> </w:t>
      </w:r>
      <w:r w:rsidRPr="002D7CF6">
        <w:rPr>
          <w:rFonts w:ascii="Arial" w:hAnsi="Arial"/>
          <w:sz w:val="24"/>
        </w:rPr>
        <w:t>They are fully warranted police officers</w:t>
      </w:r>
      <w:r>
        <w:rPr>
          <w:rFonts w:ascii="Arial" w:hAnsi="Arial"/>
          <w:sz w:val="24"/>
        </w:rPr>
        <w:t xml:space="preserve"> with f</w:t>
      </w:r>
      <w:r w:rsidRPr="002D7CF6">
        <w:rPr>
          <w:rFonts w:ascii="Arial" w:hAnsi="Arial"/>
          <w:sz w:val="24"/>
        </w:rPr>
        <w:t>ull police powers</w:t>
      </w:r>
      <w:r>
        <w:rPr>
          <w:rFonts w:ascii="Arial" w:hAnsi="Arial"/>
          <w:sz w:val="24"/>
        </w:rPr>
        <w:t>, the same uniform, equipment and r</w:t>
      </w:r>
      <w:r w:rsidRPr="002D7CF6">
        <w:rPr>
          <w:rFonts w:ascii="Arial" w:hAnsi="Arial"/>
          <w:sz w:val="24"/>
        </w:rPr>
        <w:t>esponsibilities</w:t>
      </w:r>
      <w:r>
        <w:rPr>
          <w:rFonts w:ascii="Arial" w:hAnsi="Arial"/>
          <w:sz w:val="24"/>
        </w:rPr>
        <w:t>.</w:t>
      </w:r>
    </w:p>
    <w:p w14:paraId="372044C6" w14:textId="77777777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Run by the Home Office the Employer Supported Policing scheme encourages employers to provide paid time off for Specials to volunteer.</w:t>
      </w:r>
    </w:p>
    <w:p w14:paraId="6BFB2264" w14:textId="77777777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TDC has recently adopted a new </w:t>
      </w:r>
      <w:r w:rsidRPr="00711BFD">
        <w:rPr>
          <w:rFonts w:ascii="Arial" w:hAnsi="Arial"/>
          <w:sz w:val="24"/>
        </w:rPr>
        <w:t>Employee Vol</w:t>
      </w:r>
      <w:r>
        <w:rPr>
          <w:rFonts w:ascii="Arial" w:hAnsi="Arial"/>
          <w:sz w:val="24"/>
        </w:rPr>
        <w:t xml:space="preserve">unteer and Public Duties Policy, under which </w:t>
      </w:r>
      <w:r w:rsidRPr="00711BFD">
        <w:rPr>
          <w:rFonts w:ascii="Arial" w:hAnsi="Arial"/>
          <w:sz w:val="24"/>
        </w:rPr>
        <w:t xml:space="preserve">Special Constables employed by </w:t>
      </w:r>
      <w:r>
        <w:rPr>
          <w:rFonts w:ascii="Arial" w:hAnsi="Arial"/>
          <w:sz w:val="24"/>
        </w:rPr>
        <w:t xml:space="preserve">the authority </w:t>
      </w:r>
      <w:r w:rsidRPr="00711BFD">
        <w:rPr>
          <w:rFonts w:ascii="Arial" w:hAnsi="Arial"/>
          <w:sz w:val="24"/>
        </w:rPr>
        <w:t xml:space="preserve">can </w:t>
      </w:r>
      <w:r>
        <w:rPr>
          <w:rFonts w:ascii="Arial" w:hAnsi="Arial"/>
          <w:sz w:val="24"/>
        </w:rPr>
        <w:t xml:space="preserve">have </w:t>
      </w:r>
      <w:r w:rsidRPr="00711BFD">
        <w:rPr>
          <w:rFonts w:ascii="Arial" w:hAnsi="Arial"/>
          <w:sz w:val="24"/>
        </w:rPr>
        <w:t>a further 10 days</w:t>
      </w:r>
      <w:r>
        <w:rPr>
          <w:rFonts w:ascii="Arial" w:hAnsi="Arial"/>
          <w:sz w:val="24"/>
        </w:rPr>
        <w:t>’</w:t>
      </w:r>
      <w:r w:rsidRPr="00711BFD">
        <w:rPr>
          <w:rFonts w:ascii="Arial" w:hAnsi="Arial"/>
          <w:sz w:val="24"/>
        </w:rPr>
        <w:t xml:space="preserve"> paid leave </w:t>
      </w:r>
      <w:r>
        <w:rPr>
          <w:rFonts w:ascii="Arial" w:hAnsi="Arial"/>
          <w:sz w:val="24"/>
        </w:rPr>
        <w:t xml:space="preserve">for policing </w:t>
      </w:r>
      <w:r w:rsidRPr="00711BFD">
        <w:rPr>
          <w:rFonts w:ascii="Arial" w:hAnsi="Arial"/>
          <w:sz w:val="24"/>
        </w:rPr>
        <w:t>activities</w:t>
      </w:r>
      <w:r>
        <w:rPr>
          <w:rFonts w:ascii="Arial" w:hAnsi="Arial"/>
          <w:sz w:val="24"/>
        </w:rPr>
        <w:t>.</w:t>
      </w:r>
    </w:p>
    <w:p w14:paraId="333F4384" w14:textId="1FECA15C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Hawkins, </w:t>
      </w:r>
      <w:r>
        <w:rPr>
          <w:rFonts w:ascii="Arial" w:hAnsi="Arial"/>
          <w:sz w:val="24"/>
        </w:rPr>
        <w:t xml:space="preserve">the </w:t>
      </w:r>
      <w:r w:rsidRPr="008D5F5D">
        <w:rPr>
          <w:rFonts w:ascii="Arial" w:hAnsi="Arial"/>
          <w:sz w:val="24"/>
        </w:rPr>
        <w:t xml:space="preserve">Specials </w:t>
      </w:r>
      <w:r>
        <w:rPr>
          <w:rFonts w:ascii="Arial" w:hAnsi="Arial"/>
          <w:sz w:val="24"/>
        </w:rPr>
        <w:t>Supported Policing Coordinator at Essex Police added</w:t>
      </w:r>
      <w:r>
        <w:rPr>
          <w:rFonts w:ascii="Arial" w:hAnsi="Arial"/>
          <w:sz w:val="24"/>
        </w:rPr>
        <w:t xml:space="preserve"> this is</w:t>
      </w:r>
      <w:r>
        <w:rPr>
          <w:rFonts w:ascii="Arial" w:hAnsi="Arial"/>
          <w:sz w:val="24"/>
        </w:rPr>
        <w:t xml:space="preserve"> a positiv</w:t>
      </w:r>
      <w:r>
        <w:rPr>
          <w:rFonts w:ascii="Arial" w:hAnsi="Arial"/>
          <w:sz w:val="24"/>
        </w:rPr>
        <w:t>e partnership with TDC.</w:t>
      </w:r>
    </w:p>
    <w:p w14:paraId="619C3B08" w14:textId="3EF56288" w:rsidR="00FD7F78" w:rsidRDefault="00FD7F78" w:rsidP="00FD7F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 xml:space="preserve">It will </w:t>
      </w:r>
      <w:r>
        <w:rPr>
          <w:rFonts w:ascii="Arial" w:hAnsi="Arial"/>
          <w:sz w:val="24"/>
        </w:rPr>
        <w:t>allow</w:t>
      </w:r>
      <w:r>
        <w:rPr>
          <w:rFonts w:ascii="Arial" w:hAnsi="Arial"/>
          <w:sz w:val="24"/>
        </w:rPr>
        <w:t xml:space="preserve"> those who become</w:t>
      </w:r>
      <w:r>
        <w:rPr>
          <w:rFonts w:ascii="Arial" w:hAnsi="Arial"/>
          <w:sz w:val="24"/>
        </w:rPr>
        <w:t xml:space="preserve"> Special Constables to develop even stronger ties with those communities that they serve, both in their day job and while on the beat.”</w:t>
      </w:r>
    </w:p>
    <w:p w14:paraId="6AD6ADD0" w14:textId="77777777" w:rsidR="00FD7F78" w:rsidRDefault="00FD7F78" w:rsidP="00FD7F78">
      <w:pPr>
        <w:rPr>
          <w:rFonts w:ascii="Arial" w:hAnsi="Arial"/>
          <w:sz w:val="24"/>
        </w:rPr>
      </w:pPr>
    </w:p>
    <w:p w14:paraId="32084A21" w14:textId="70F34232" w:rsidR="00FD7F78" w:rsidRPr="00FD7F78" w:rsidRDefault="00FD7F78" w:rsidP="00FD7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FD7F78">
        <w:rPr>
          <w:rFonts w:ascii="Arial" w:hAnsi="Arial"/>
          <w:sz w:val="26"/>
          <w:szCs w:val="26"/>
        </w:rPr>
        <w:t>To find out more about becoming a Special Constable visit</w:t>
      </w:r>
      <w:r w:rsidRPr="00FD7F78">
        <w:rPr>
          <w:rFonts w:ascii="Arial" w:hAnsi="Arial"/>
          <w:sz w:val="26"/>
          <w:szCs w:val="26"/>
        </w:rPr>
        <w:t xml:space="preserve"> </w:t>
      </w:r>
      <w:hyperlink r:id="rId9" w:history="1">
        <w:r w:rsidRPr="00FD7F78">
          <w:rPr>
            <w:rStyle w:val="Hyperlink"/>
            <w:rFonts w:ascii="Arial" w:hAnsi="Arial"/>
            <w:sz w:val="26"/>
            <w:szCs w:val="26"/>
          </w:rPr>
          <w:t>https://www.essex.police.uk/</w:t>
        </w:r>
      </w:hyperlink>
    </w:p>
    <w:sectPr w:rsidR="00FD7F78" w:rsidRPr="00FD7F78" w:rsidSect="009718BD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BF36" w14:textId="77777777" w:rsidR="008D47CF" w:rsidRDefault="008D47CF" w:rsidP="00662135">
      <w:pPr>
        <w:spacing w:after="0" w:line="240" w:lineRule="auto"/>
      </w:pPr>
      <w:r>
        <w:separator/>
      </w:r>
    </w:p>
  </w:endnote>
  <w:endnote w:type="continuationSeparator" w:id="0">
    <w:p w14:paraId="3D827371" w14:textId="77777777" w:rsidR="008D47CF" w:rsidRDefault="008D47CF" w:rsidP="006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2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A8A2" w14:textId="2F5B704C" w:rsidR="004304EA" w:rsidRDefault="0043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9AE07" w14:textId="77777777" w:rsidR="004304EA" w:rsidRDefault="0043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13C9" w14:textId="77777777" w:rsidR="008D47CF" w:rsidRDefault="008D47CF" w:rsidP="00662135">
      <w:pPr>
        <w:spacing w:after="0" w:line="240" w:lineRule="auto"/>
      </w:pPr>
      <w:r>
        <w:separator/>
      </w:r>
    </w:p>
  </w:footnote>
  <w:footnote w:type="continuationSeparator" w:id="0">
    <w:p w14:paraId="731F9691" w14:textId="77777777" w:rsidR="008D47CF" w:rsidRDefault="008D47CF" w:rsidP="0066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34C0" w14:textId="3D9EE701" w:rsidR="004261E3" w:rsidRDefault="004304EA" w:rsidP="008A0BED">
    <w:pPr>
      <w:spacing w:after="0" w:line="240" w:lineRule="auto"/>
      <w:ind w:left="2160" w:firstLine="720"/>
      <w:contextualSpacing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Cllr. Lynda McWilliams </w:t>
    </w:r>
  </w:p>
  <w:p w14:paraId="6798FC29" w14:textId="77777777" w:rsidR="008A0BED" w:rsidRDefault="004261E3" w:rsidP="004261E3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Tendring District Councillor’s </w:t>
    </w:r>
  </w:p>
  <w:p w14:paraId="489506EB" w14:textId="6AC7C078" w:rsidR="009943F4" w:rsidRDefault="008A0BED" w:rsidP="008A0BED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Parish Council </w:t>
    </w:r>
    <w:r w:rsidR="004304E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Report for</w:t>
    </w:r>
    <w:r w:rsidR="00F847F9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</w:t>
    </w:r>
    <w:r w:rsidR="00FD7F78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NOVEMBER</w:t>
    </w:r>
    <w:r w:rsidR="00B86194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2023</w:t>
    </w:r>
    <w:r w:rsidR="004304E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</w:t>
    </w:r>
  </w:p>
  <w:p w14:paraId="19CEF394" w14:textId="77777777" w:rsidR="00F847F9" w:rsidRPr="009943F4" w:rsidRDefault="00F847F9" w:rsidP="008A0BED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957"/>
    <w:multiLevelType w:val="hybridMultilevel"/>
    <w:tmpl w:val="57EA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CEB"/>
    <w:multiLevelType w:val="multilevel"/>
    <w:tmpl w:val="9EC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4281"/>
    <w:multiLevelType w:val="hybridMultilevel"/>
    <w:tmpl w:val="0004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5028"/>
    <w:multiLevelType w:val="multilevel"/>
    <w:tmpl w:val="999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713BA"/>
    <w:multiLevelType w:val="hybridMultilevel"/>
    <w:tmpl w:val="AD74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E77"/>
    <w:multiLevelType w:val="multilevel"/>
    <w:tmpl w:val="5D7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433EF"/>
    <w:multiLevelType w:val="multilevel"/>
    <w:tmpl w:val="2A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62C72"/>
    <w:multiLevelType w:val="multilevel"/>
    <w:tmpl w:val="BB2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40524"/>
    <w:multiLevelType w:val="hybridMultilevel"/>
    <w:tmpl w:val="C4CC515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52CA646E"/>
    <w:multiLevelType w:val="multilevel"/>
    <w:tmpl w:val="43B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97BCB"/>
    <w:multiLevelType w:val="multilevel"/>
    <w:tmpl w:val="E1B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21131"/>
    <w:multiLevelType w:val="hybridMultilevel"/>
    <w:tmpl w:val="5E36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F73"/>
    <w:multiLevelType w:val="multilevel"/>
    <w:tmpl w:val="B3D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074227">
    <w:abstractNumId w:val="8"/>
  </w:num>
  <w:num w:numId="2" w16cid:durableId="2092192221">
    <w:abstractNumId w:val="2"/>
  </w:num>
  <w:num w:numId="3" w16cid:durableId="2005936621">
    <w:abstractNumId w:val="9"/>
  </w:num>
  <w:num w:numId="4" w16cid:durableId="1131938352">
    <w:abstractNumId w:val="4"/>
  </w:num>
  <w:num w:numId="5" w16cid:durableId="631521586">
    <w:abstractNumId w:val="11"/>
  </w:num>
  <w:num w:numId="6" w16cid:durableId="845095719">
    <w:abstractNumId w:val="0"/>
  </w:num>
  <w:num w:numId="7" w16cid:durableId="1747728181">
    <w:abstractNumId w:val="0"/>
  </w:num>
  <w:num w:numId="8" w16cid:durableId="1064911345">
    <w:abstractNumId w:val="5"/>
  </w:num>
  <w:num w:numId="9" w16cid:durableId="2086293448">
    <w:abstractNumId w:val="10"/>
  </w:num>
  <w:num w:numId="10" w16cid:durableId="2076277863">
    <w:abstractNumId w:val="12"/>
  </w:num>
  <w:num w:numId="11" w16cid:durableId="1462116276">
    <w:abstractNumId w:val="1"/>
  </w:num>
  <w:num w:numId="12" w16cid:durableId="969747921">
    <w:abstractNumId w:val="6"/>
  </w:num>
  <w:num w:numId="13" w16cid:durableId="1777364380">
    <w:abstractNumId w:val="3"/>
  </w:num>
  <w:num w:numId="14" w16cid:durableId="149226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5"/>
    <w:rsid w:val="00001E3E"/>
    <w:rsid w:val="00005AE9"/>
    <w:rsid w:val="00015F21"/>
    <w:rsid w:val="000175E6"/>
    <w:rsid w:val="000231D5"/>
    <w:rsid w:val="00026F17"/>
    <w:rsid w:val="00041D83"/>
    <w:rsid w:val="00042BA2"/>
    <w:rsid w:val="00042C5C"/>
    <w:rsid w:val="00054DD6"/>
    <w:rsid w:val="00057AAC"/>
    <w:rsid w:val="000855E1"/>
    <w:rsid w:val="00091DF7"/>
    <w:rsid w:val="000B06D8"/>
    <w:rsid w:val="000D3819"/>
    <w:rsid w:val="00120798"/>
    <w:rsid w:val="00164635"/>
    <w:rsid w:val="001716D7"/>
    <w:rsid w:val="0017633D"/>
    <w:rsid w:val="001821BA"/>
    <w:rsid w:val="001D3E04"/>
    <w:rsid w:val="00207AA6"/>
    <w:rsid w:val="00212999"/>
    <w:rsid w:val="0022708B"/>
    <w:rsid w:val="0028487C"/>
    <w:rsid w:val="00284BA9"/>
    <w:rsid w:val="002863A9"/>
    <w:rsid w:val="00297A5F"/>
    <w:rsid w:val="002D2062"/>
    <w:rsid w:val="002E07FE"/>
    <w:rsid w:val="002F69FD"/>
    <w:rsid w:val="00344905"/>
    <w:rsid w:val="00363B7E"/>
    <w:rsid w:val="00366B5D"/>
    <w:rsid w:val="00380F43"/>
    <w:rsid w:val="00392A8A"/>
    <w:rsid w:val="003C1DCC"/>
    <w:rsid w:val="003C76AA"/>
    <w:rsid w:val="004261E3"/>
    <w:rsid w:val="004304EA"/>
    <w:rsid w:val="00442974"/>
    <w:rsid w:val="00447298"/>
    <w:rsid w:val="004767B7"/>
    <w:rsid w:val="0048043C"/>
    <w:rsid w:val="0049468E"/>
    <w:rsid w:val="0049534C"/>
    <w:rsid w:val="0049652D"/>
    <w:rsid w:val="004B2B18"/>
    <w:rsid w:val="004C5A75"/>
    <w:rsid w:val="004F72A5"/>
    <w:rsid w:val="0051755D"/>
    <w:rsid w:val="005410D6"/>
    <w:rsid w:val="00553459"/>
    <w:rsid w:val="0055449A"/>
    <w:rsid w:val="005644AE"/>
    <w:rsid w:val="00572563"/>
    <w:rsid w:val="00572DD5"/>
    <w:rsid w:val="005765C4"/>
    <w:rsid w:val="005977EE"/>
    <w:rsid w:val="005E2FBE"/>
    <w:rsid w:val="005E61D9"/>
    <w:rsid w:val="006266EC"/>
    <w:rsid w:val="00662135"/>
    <w:rsid w:val="006644D3"/>
    <w:rsid w:val="00664FFF"/>
    <w:rsid w:val="006B2506"/>
    <w:rsid w:val="006C3463"/>
    <w:rsid w:val="006D60DF"/>
    <w:rsid w:val="00706B34"/>
    <w:rsid w:val="007643D1"/>
    <w:rsid w:val="00766196"/>
    <w:rsid w:val="0077354A"/>
    <w:rsid w:val="00773F1C"/>
    <w:rsid w:val="007742AE"/>
    <w:rsid w:val="00775EF7"/>
    <w:rsid w:val="00776004"/>
    <w:rsid w:val="00785A74"/>
    <w:rsid w:val="007F32E3"/>
    <w:rsid w:val="00894182"/>
    <w:rsid w:val="00895069"/>
    <w:rsid w:val="008A0BED"/>
    <w:rsid w:val="008A659C"/>
    <w:rsid w:val="008A6CD4"/>
    <w:rsid w:val="008C1C26"/>
    <w:rsid w:val="008D47CF"/>
    <w:rsid w:val="008D658F"/>
    <w:rsid w:val="00901770"/>
    <w:rsid w:val="009133F9"/>
    <w:rsid w:val="00914E3C"/>
    <w:rsid w:val="00960BB2"/>
    <w:rsid w:val="009718BD"/>
    <w:rsid w:val="009843C0"/>
    <w:rsid w:val="009943F4"/>
    <w:rsid w:val="009A1494"/>
    <w:rsid w:val="009A395D"/>
    <w:rsid w:val="009B12C9"/>
    <w:rsid w:val="009B4A48"/>
    <w:rsid w:val="009B6C17"/>
    <w:rsid w:val="009D60CC"/>
    <w:rsid w:val="009F4A56"/>
    <w:rsid w:val="00A06A16"/>
    <w:rsid w:val="00A15806"/>
    <w:rsid w:val="00A30B66"/>
    <w:rsid w:val="00A37493"/>
    <w:rsid w:val="00A55874"/>
    <w:rsid w:val="00A7126B"/>
    <w:rsid w:val="00A820A5"/>
    <w:rsid w:val="00A820BD"/>
    <w:rsid w:val="00A85201"/>
    <w:rsid w:val="00A965A3"/>
    <w:rsid w:val="00AB128D"/>
    <w:rsid w:val="00AB7DB0"/>
    <w:rsid w:val="00AC05CE"/>
    <w:rsid w:val="00AC3ACD"/>
    <w:rsid w:val="00AD3637"/>
    <w:rsid w:val="00AD6C3C"/>
    <w:rsid w:val="00AF3C59"/>
    <w:rsid w:val="00B65FBF"/>
    <w:rsid w:val="00B7742F"/>
    <w:rsid w:val="00B85238"/>
    <w:rsid w:val="00B86194"/>
    <w:rsid w:val="00BC4FB5"/>
    <w:rsid w:val="00BD4623"/>
    <w:rsid w:val="00BF10AE"/>
    <w:rsid w:val="00BF405C"/>
    <w:rsid w:val="00C21C27"/>
    <w:rsid w:val="00C24A31"/>
    <w:rsid w:val="00C60EBC"/>
    <w:rsid w:val="00C65511"/>
    <w:rsid w:val="00C910E3"/>
    <w:rsid w:val="00CA5F0E"/>
    <w:rsid w:val="00CB0775"/>
    <w:rsid w:val="00CB3236"/>
    <w:rsid w:val="00CC122E"/>
    <w:rsid w:val="00CF3F4B"/>
    <w:rsid w:val="00D10046"/>
    <w:rsid w:val="00D41D46"/>
    <w:rsid w:val="00D41FCF"/>
    <w:rsid w:val="00D74420"/>
    <w:rsid w:val="00D82DEF"/>
    <w:rsid w:val="00D87F33"/>
    <w:rsid w:val="00DA7CDD"/>
    <w:rsid w:val="00DE39F7"/>
    <w:rsid w:val="00E0414F"/>
    <w:rsid w:val="00E52766"/>
    <w:rsid w:val="00E610DA"/>
    <w:rsid w:val="00E61CA6"/>
    <w:rsid w:val="00E64569"/>
    <w:rsid w:val="00EB1790"/>
    <w:rsid w:val="00EB487D"/>
    <w:rsid w:val="00F00C92"/>
    <w:rsid w:val="00F22AE7"/>
    <w:rsid w:val="00F5212F"/>
    <w:rsid w:val="00F82084"/>
    <w:rsid w:val="00F847F9"/>
    <w:rsid w:val="00FC2FA8"/>
    <w:rsid w:val="00FC50FB"/>
    <w:rsid w:val="00FD24D0"/>
    <w:rsid w:val="00FD43AE"/>
    <w:rsid w:val="00FD7F78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3363"/>
  <w15:chartTrackingRefBased/>
  <w15:docId w15:val="{BAA9A1F0-712E-4B45-9C4D-4FF6849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3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21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21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66196"/>
    <w:rPr>
      <w:color w:val="0000FF"/>
      <w:u w:val="single"/>
    </w:rPr>
  </w:style>
  <w:style w:type="character" w:customStyle="1" w:styleId="DefaultFontHxMailStyle">
    <w:name w:val="Default Font HxMail Style"/>
    <w:basedOn w:val="DefaultParagraphFont"/>
    <w:rsid w:val="0076619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2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1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6D7"/>
    <w:rPr>
      <w:i/>
      <w:iCs/>
    </w:rPr>
  </w:style>
  <w:style w:type="paragraph" w:styleId="NoSpacing">
    <w:name w:val="No Spacing"/>
    <w:uiPriority w:val="1"/>
    <w:qFormat/>
    <w:rsid w:val="005175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965A3"/>
  </w:style>
  <w:style w:type="character" w:customStyle="1" w:styleId="eop">
    <w:name w:val="eop"/>
    <w:basedOn w:val="DefaultParagraphFont"/>
    <w:rsid w:val="00A965A3"/>
  </w:style>
  <w:style w:type="paragraph" w:customStyle="1" w:styleId="post-meta">
    <w:name w:val="post-meta"/>
    <w:basedOn w:val="Normal"/>
    <w:rsid w:val="00F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FD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456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ringdc.gov.uk/community/young-people/tendring-youth-aw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sex.polic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6DE5-85AC-43F9-A417-C7FC124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McWilliams</dc:creator>
  <cp:keywords/>
  <dc:description/>
  <cp:lastModifiedBy>Lynda McWilliams</cp:lastModifiedBy>
  <cp:revision>2</cp:revision>
  <cp:lastPrinted>2023-01-04T11:41:00Z</cp:lastPrinted>
  <dcterms:created xsi:type="dcterms:W3CDTF">2023-10-31T17:10:00Z</dcterms:created>
  <dcterms:modified xsi:type="dcterms:W3CDTF">2023-10-31T17:10:00Z</dcterms:modified>
</cp:coreProperties>
</file>